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F17A" w14:textId="77777777" w:rsidR="003A345A" w:rsidRDefault="00A8000E">
      <w:pPr>
        <w:pStyle w:val="Heading1"/>
        <w:spacing w:before="24" w:line="477" w:lineRule="auto"/>
        <w:ind w:left="2935" w:right="2934"/>
        <w:jc w:val="center"/>
      </w:pPr>
      <w:proofErr w:type="spellStart"/>
      <w:r>
        <w:t>Hockering</w:t>
      </w:r>
      <w:proofErr w:type="spellEnd"/>
      <w:r>
        <w:rPr>
          <w:spacing w:val="-14"/>
        </w:rPr>
        <w:t xml:space="preserve"> </w:t>
      </w:r>
      <w:r>
        <w:t>Parish</w:t>
      </w:r>
      <w:r>
        <w:rPr>
          <w:spacing w:val="-14"/>
        </w:rPr>
        <w:t xml:space="preserve"> </w:t>
      </w:r>
      <w:r>
        <w:t>Council Internet Banking</w:t>
      </w:r>
    </w:p>
    <w:p w14:paraId="7EC19455" w14:textId="77777777" w:rsidR="003A345A" w:rsidRDefault="00A8000E">
      <w:pPr>
        <w:spacing w:before="6"/>
        <w:ind w:left="23"/>
        <w:rPr>
          <w:b/>
          <w:sz w:val="24"/>
        </w:rPr>
      </w:pPr>
      <w:r>
        <w:rPr>
          <w:b/>
          <w:spacing w:val="-2"/>
          <w:sz w:val="24"/>
        </w:rPr>
        <w:t>Background</w:t>
      </w:r>
    </w:p>
    <w:p w14:paraId="636477DD" w14:textId="77777777" w:rsidR="003A345A" w:rsidRDefault="00A8000E">
      <w:pPr>
        <w:pStyle w:val="BodyText"/>
        <w:spacing w:before="291"/>
        <w:ind w:right="94"/>
      </w:pPr>
      <w:r>
        <w:t>The Legislative Reform (Payments by Parish Councils, Community Councils and Charter Trustees)</w:t>
      </w:r>
      <w:r>
        <w:rPr>
          <w:spacing w:val="-4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2014</w:t>
      </w:r>
      <w:r>
        <w:rPr>
          <w:spacing w:val="-5"/>
        </w:rPr>
        <w:t xml:space="preserve"> </w:t>
      </w:r>
      <w:r>
        <w:t>came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12th</w:t>
      </w:r>
      <w:r>
        <w:rPr>
          <w:spacing w:val="-2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t>2014.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Legislative Reform</w:t>
      </w:r>
      <w:r>
        <w:rPr>
          <w:spacing w:val="-6"/>
        </w:rPr>
        <w:t xml:space="preserve"> </w:t>
      </w:r>
      <w:r>
        <w:t xml:space="preserve">Order repealed the statutory requirement for two elected members to sign cheques and other orders for payment. The removal of this </w:t>
      </w:r>
      <w:proofErr w:type="gramStart"/>
      <w:r>
        <w:t>particular legal</w:t>
      </w:r>
      <w:proofErr w:type="gramEnd"/>
      <w:r>
        <w:t xml:space="preserve"> requirement has enabled Parish Councils to take an overall approach to how it controls its money as well as taking advantage of modern technology including internet banking.</w:t>
      </w:r>
    </w:p>
    <w:p w14:paraId="20574436" w14:textId="77777777" w:rsidR="003A345A" w:rsidRDefault="003A345A">
      <w:pPr>
        <w:pStyle w:val="BodyText"/>
        <w:spacing w:before="2"/>
        <w:ind w:left="0"/>
      </w:pPr>
    </w:p>
    <w:p w14:paraId="4EE086CF" w14:textId="77777777" w:rsidR="003A345A" w:rsidRDefault="00A8000E">
      <w:pPr>
        <w:pStyle w:val="BodyText"/>
        <w:ind w:right="94"/>
      </w:pPr>
      <w:r>
        <w:t>The</w:t>
      </w:r>
      <w:r>
        <w:rPr>
          <w:spacing w:val="-2"/>
        </w:rPr>
        <w:t xml:space="preserve"> </w:t>
      </w:r>
      <w:r>
        <w:t>Parish</w:t>
      </w:r>
      <w:r>
        <w:rPr>
          <w:spacing w:val="-5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acknowledge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controls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payments</w:t>
      </w:r>
      <w:r>
        <w:rPr>
          <w:spacing w:val="-5"/>
        </w:rPr>
        <w:t xml:space="preserve"> </w:t>
      </w:r>
      <w:r>
        <w:t xml:space="preserve">as an integrated part of its overall financial control </w:t>
      </w:r>
      <w:proofErr w:type="gramStart"/>
      <w:r>
        <w:t>system</w:t>
      </w:r>
      <w:proofErr w:type="gramEnd"/>
      <w:r>
        <w:t xml:space="preserve"> and these are set out in the proposed Financial Regulations.</w:t>
      </w:r>
    </w:p>
    <w:p w14:paraId="16A0A013" w14:textId="77777777" w:rsidR="003A345A" w:rsidRDefault="003A345A">
      <w:pPr>
        <w:pStyle w:val="BodyText"/>
        <w:ind w:left="0"/>
      </w:pPr>
    </w:p>
    <w:p w14:paraId="2B29A975" w14:textId="77777777" w:rsidR="003A345A" w:rsidRDefault="00A8000E">
      <w:pPr>
        <w:pStyle w:val="Heading1"/>
      </w:pPr>
      <w:r>
        <w:t>Account</w:t>
      </w:r>
      <w:r>
        <w:rPr>
          <w:spacing w:val="-4"/>
        </w:rPr>
        <w:t xml:space="preserve"> </w:t>
      </w:r>
      <w:r>
        <w:rPr>
          <w:spacing w:val="-2"/>
        </w:rPr>
        <w:t>details</w:t>
      </w:r>
    </w:p>
    <w:p w14:paraId="7856BBF3" w14:textId="77777777" w:rsidR="003A345A" w:rsidRDefault="003A345A">
      <w:pPr>
        <w:pStyle w:val="BodyText"/>
        <w:spacing w:before="2"/>
        <w:ind w:left="0"/>
        <w:rPr>
          <w:b/>
        </w:rPr>
      </w:pPr>
    </w:p>
    <w:p w14:paraId="3275604D" w14:textId="062A70DD" w:rsidR="003A345A" w:rsidRDefault="00A8000E">
      <w:pPr>
        <w:pStyle w:val="BodyText"/>
      </w:pPr>
      <w:r>
        <w:t>The</w:t>
      </w:r>
      <w:r>
        <w:rPr>
          <w:spacing w:val="-1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Co-Operative</w:t>
      </w:r>
      <w:r>
        <w:rPr>
          <w:spacing w:val="-5"/>
        </w:rPr>
        <w:t xml:space="preserve"> </w:t>
      </w:r>
      <w:r>
        <w:t>Bank.</w:t>
      </w:r>
      <w:r>
        <w:rPr>
          <w:spacing w:val="-3"/>
        </w:rPr>
        <w:t xml:space="preserve"> </w:t>
      </w:r>
      <w:r>
        <w:t>This account</w:t>
      </w:r>
      <w:r>
        <w:rPr>
          <w:spacing w:val="-2"/>
        </w:rPr>
        <w:t xml:space="preserve"> </w:t>
      </w:r>
      <w:r w:rsidR="003806DC">
        <w:t>is</w:t>
      </w:r>
      <w:r>
        <w:rPr>
          <w:spacing w:val="-5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 xml:space="preserve">up to use internet banking, with all payments being set up by the RFO, with one bank signatory </w:t>
      </w:r>
      <w:proofErr w:type="spellStart"/>
      <w:r>
        <w:t>authorising</w:t>
      </w:r>
      <w:proofErr w:type="spellEnd"/>
      <w:r>
        <w:t xml:space="preserve"> the payments. This is in accordance with the guidance on page 14 of the</w:t>
      </w:r>
    </w:p>
    <w:p w14:paraId="5BFC29BC" w14:textId="77777777" w:rsidR="003A345A" w:rsidRDefault="00A8000E">
      <w:pPr>
        <w:pStyle w:val="BodyText"/>
        <w:spacing w:line="290" w:lineRule="exact"/>
      </w:pPr>
      <w:r>
        <w:t>document</w:t>
      </w:r>
      <w:r>
        <w:rPr>
          <w:spacing w:val="-4"/>
        </w:rPr>
        <w:t xml:space="preserve"> </w:t>
      </w:r>
      <w:r>
        <w:t>“The</w:t>
      </w:r>
      <w:r>
        <w:rPr>
          <w:spacing w:val="-6"/>
        </w:rPr>
        <w:t xml:space="preserve"> </w:t>
      </w:r>
      <w:r>
        <w:t xml:space="preserve">Good </w:t>
      </w:r>
      <w:proofErr w:type="spellStart"/>
      <w:r>
        <w:t>Councillor’s</w:t>
      </w:r>
      <w:proofErr w:type="spellEnd"/>
      <w:r>
        <w:rPr>
          <w:spacing w:val="-4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Finance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Transparency”</w:t>
      </w:r>
      <w:r>
        <w:rPr>
          <w:spacing w:val="-2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rPr>
          <w:spacing w:val="-2"/>
        </w:rPr>
        <w:t>states:</w:t>
      </w:r>
    </w:p>
    <w:p w14:paraId="73DA013D" w14:textId="77777777" w:rsidR="003A345A" w:rsidRDefault="00A8000E">
      <w:pPr>
        <w:pStyle w:val="BodyText"/>
        <w:spacing w:before="3" w:line="292" w:lineRule="exact"/>
      </w:pPr>
      <w:r>
        <w:t>“Where</w:t>
      </w:r>
      <w:r>
        <w:rPr>
          <w:spacing w:val="-1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banking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used,</w:t>
      </w:r>
      <w:r>
        <w:rPr>
          <w:spacing w:val="-2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are</w:t>
      </w:r>
    </w:p>
    <w:p w14:paraId="0D6E693D" w14:textId="77777777" w:rsidR="003A345A" w:rsidRDefault="00A8000E">
      <w:pPr>
        <w:pStyle w:val="BodyText"/>
        <w:spacing w:line="292" w:lineRule="exact"/>
      </w:pP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transaction,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councillor</w:t>
      </w:r>
      <w:proofErr w:type="spellEnd"/>
      <w:r>
        <w:rPr>
          <w:spacing w:val="-2"/>
        </w:rPr>
        <w:t>”.</w:t>
      </w:r>
    </w:p>
    <w:p w14:paraId="5FC8082C" w14:textId="77777777" w:rsidR="003A345A" w:rsidRDefault="00A8000E">
      <w:pPr>
        <w:pStyle w:val="Heading1"/>
        <w:spacing w:before="291"/>
      </w:pPr>
      <w:r>
        <w:t>Account</w:t>
      </w:r>
      <w:r>
        <w:rPr>
          <w:spacing w:val="-4"/>
        </w:rPr>
        <w:t xml:space="preserve"> </w:t>
      </w:r>
      <w:r>
        <w:rPr>
          <w:spacing w:val="-2"/>
        </w:rPr>
        <w:t>signatories</w:t>
      </w:r>
    </w:p>
    <w:p w14:paraId="17EE76F9" w14:textId="77777777" w:rsidR="003A345A" w:rsidRDefault="003A345A">
      <w:pPr>
        <w:pStyle w:val="BodyText"/>
        <w:spacing w:before="3"/>
        <w:ind w:left="0"/>
        <w:rPr>
          <w:b/>
        </w:rPr>
      </w:pPr>
    </w:p>
    <w:p w14:paraId="3256F305" w14:textId="77777777" w:rsidR="003A345A" w:rsidRDefault="00A8000E">
      <w:pPr>
        <w:pStyle w:val="BodyText"/>
        <w:ind w:right="94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signatories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account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have internet access. The RFO will also have access.</w:t>
      </w:r>
    </w:p>
    <w:p w14:paraId="4CB5C202" w14:textId="77777777" w:rsidR="003A345A" w:rsidRDefault="003A345A">
      <w:pPr>
        <w:pStyle w:val="BodyText"/>
        <w:spacing w:before="1"/>
        <w:ind w:left="0"/>
      </w:pPr>
    </w:p>
    <w:p w14:paraId="73E0B398" w14:textId="1499AE21" w:rsidR="003A345A" w:rsidRDefault="00A8000E">
      <w:pPr>
        <w:pStyle w:val="ListParagraph"/>
        <w:numPr>
          <w:ilvl w:val="0"/>
          <w:numId w:val="1"/>
        </w:numPr>
        <w:tabs>
          <w:tab w:val="left" w:pos="197"/>
        </w:tabs>
        <w:spacing w:line="293" w:lineRule="exact"/>
        <w:ind w:left="197" w:hanging="174"/>
        <w:rPr>
          <w:sz w:val="24"/>
        </w:rPr>
      </w:pPr>
      <w:r>
        <w:rPr>
          <w:sz w:val="24"/>
        </w:rPr>
        <w:t>Cllr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Blackwell</w:t>
      </w:r>
    </w:p>
    <w:p w14:paraId="0E56CB81" w14:textId="77777777" w:rsidR="003A345A" w:rsidRPr="005251CD" w:rsidRDefault="00A8000E">
      <w:pPr>
        <w:pStyle w:val="ListParagraph"/>
        <w:numPr>
          <w:ilvl w:val="0"/>
          <w:numId w:val="1"/>
        </w:numPr>
        <w:tabs>
          <w:tab w:val="left" w:pos="197"/>
        </w:tabs>
        <w:ind w:left="197" w:hanging="174"/>
        <w:rPr>
          <w:sz w:val="24"/>
        </w:rPr>
      </w:pPr>
      <w:r>
        <w:rPr>
          <w:sz w:val="24"/>
        </w:rPr>
        <w:t>Cllr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Neave</w:t>
      </w:r>
    </w:p>
    <w:p w14:paraId="1001FDB4" w14:textId="39F258C0" w:rsidR="005251CD" w:rsidRDefault="005251CD">
      <w:pPr>
        <w:pStyle w:val="ListParagraph"/>
        <w:numPr>
          <w:ilvl w:val="0"/>
          <w:numId w:val="1"/>
        </w:numPr>
        <w:tabs>
          <w:tab w:val="left" w:pos="197"/>
        </w:tabs>
        <w:ind w:left="197" w:hanging="174"/>
        <w:rPr>
          <w:sz w:val="24"/>
        </w:rPr>
      </w:pPr>
      <w:r>
        <w:rPr>
          <w:spacing w:val="-2"/>
          <w:sz w:val="24"/>
        </w:rPr>
        <w:t>Cllr McIntee</w:t>
      </w:r>
    </w:p>
    <w:p w14:paraId="003C39F0" w14:textId="77777777" w:rsidR="003A345A" w:rsidRDefault="00A8000E">
      <w:pPr>
        <w:pStyle w:val="Heading1"/>
        <w:spacing w:before="291"/>
      </w:pPr>
      <w:r>
        <w:t>Internet</w:t>
      </w:r>
      <w:r>
        <w:rPr>
          <w:spacing w:val="-2"/>
        </w:rPr>
        <w:t xml:space="preserve"> </w:t>
      </w:r>
      <w:r>
        <w:t>Banking</w:t>
      </w:r>
      <w:r>
        <w:rPr>
          <w:spacing w:val="-4"/>
        </w:rPr>
        <w:t xml:space="preserve"> </w:t>
      </w:r>
      <w:r>
        <w:rPr>
          <w:spacing w:val="-2"/>
        </w:rPr>
        <w:t>Procedure</w:t>
      </w:r>
    </w:p>
    <w:p w14:paraId="21876BCE" w14:textId="77777777" w:rsidR="003A345A" w:rsidRDefault="003A345A">
      <w:pPr>
        <w:pStyle w:val="BodyText"/>
        <w:spacing w:before="2"/>
        <w:ind w:left="0"/>
        <w:rPr>
          <w:b/>
        </w:rPr>
      </w:pPr>
    </w:p>
    <w:p w14:paraId="633F797A" w14:textId="77777777" w:rsidR="003A345A" w:rsidRDefault="00A8000E">
      <w:pPr>
        <w:pStyle w:val="BodyText"/>
        <w:spacing w:before="1" w:line="292" w:lineRule="exact"/>
      </w:pPr>
      <w:r>
        <w:t>All</w:t>
      </w:r>
      <w:r>
        <w:rPr>
          <w:spacing w:val="-5"/>
        </w:rPr>
        <w:t xml:space="preserve"> </w:t>
      </w:r>
      <w:r>
        <w:t>payments 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banking</w:t>
      </w:r>
      <w:r>
        <w:rPr>
          <w:spacing w:val="-2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possible.</w:t>
      </w:r>
      <w:r>
        <w:rPr>
          <w:spacing w:val="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Council’s</w:t>
      </w:r>
      <w:r>
        <w:rPr>
          <w:spacing w:val="1"/>
        </w:rPr>
        <w:t xml:space="preserve"> </w:t>
      </w:r>
      <w:r>
        <w:rPr>
          <w:spacing w:val="-2"/>
        </w:rPr>
        <w:t>Financial</w:t>
      </w:r>
    </w:p>
    <w:p w14:paraId="15243C07" w14:textId="77777777" w:rsidR="003A345A" w:rsidRDefault="00A8000E">
      <w:pPr>
        <w:pStyle w:val="BodyText"/>
        <w:spacing w:line="292" w:lineRule="exact"/>
      </w:pPr>
      <w:r>
        <w:t>Regulations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adhered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internet</w:t>
      </w:r>
      <w:r>
        <w:rPr>
          <w:spacing w:val="-2"/>
        </w:rPr>
        <w:t xml:space="preserve"> banking.</w:t>
      </w:r>
    </w:p>
    <w:p w14:paraId="2A1F91F1" w14:textId="77777777" w:rsidR="003A345A" w:rsidRDefault="003A345A">
      <w:pPr>
        <w:pStyle w:val="BodyText"/>
        <w:spacing w:before="1"/>
        <w:ind w:left="0"/>
      </w:pPr>
    </w:p>
    <w:p w14:paraId="182E8346" w14:textId="77777777" w:rsidR="003A345A" w:rsidRDefault="00A8000E">
      <w:pPr>
        <w:pStyle w:val="BodyText"/>
        <w:spacing w:before="1"/>
      </w:pPr>
      <w:r>
        <w:t>The</w:t>
      </w:r>
      <w:r>
        <w:rPr>
          <w:spacing w:val="-1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t xml:space="preserve">and security </w:t>
      </w:r>
      <w:proofErr w:type="spellStart"/>
      <w:r>
        <w:t>authorisation</w:t>
      </w:r>
      <w:proofErr w:type="spellEnd"/>
      <w:r>
        <w:t xml:space="preserve"> process of the bank.</w:t>
      </w:r>
    </w:p>
    <w:p w14:paraId="4B6EDB29" w14:textId="7D75717B" w:rsidR="003A345A" w:rsidRDefault="00A8000E">
      <w:pPr>
        <w:pStyle w:val="BodyText"/>
        <w:spacing w:before="290"/>
      </w:pPr>
      <w:r>
        <w:t xml:space="preserve">Once payments have been </w:t>
      </w:r>
      <w:r w:rsidR="0078638C">
        <w:t xml:space="preserve">authorized by </w:t>
      </w:r>
      <w:r w:rsidR="00812D89">
        <w:t>the council</w:t>
      </w:r>
      <w:r>
        <w:t xml:space="preserve">, the RFO will set them up online and inform the Council signatories by email. Upon receipt of the email one signatory will </w:t>
      </w:r>
      <w:proofErr w:type="spellStart"/>
      <w:r>
        <w:t>authorise</w:t>
      </w:r>
      <w:proofErr w:type="spellEnd"/>
      <w:r>
        <w:t xml:space="preserve"> the payments,</w:t>
      </w:r>
      <w:r>
        <w:rPr>
          <w:spacing w:val="-2"/>
        </w:rPr>
        <w:t xml:space="preserve"> </w:t>
      </w:r>
      <w:proofErr w:type="gramStart"/>
      <w:r>
        <w:t>cross</w:t>
      </w:r>
      <w:r>
        <w:rPr>
          <w:spacing w:val="-4"/>
        </w:rPr>
        <w:t xml:space="preserve"> </w:t>
      </w:r>
      <w:r>
        <w:t>referencing</w:t>
      </w:r>
      <w:proofErr w:type="gramEnd"/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meeting</w:t>
      </w:r>
      <w:r w:rsidR="00812D89">
        <w:t>.</w:t>
      </w:r>
    </w:p>
    <w:p w14:paraId="76DA9FB7" w14:textId="77777777" w:rsidR="003A345A" w:rsidRDefault="003A345A">
      <w:pPr>
        <w:pStyle w:val="BodyText"/>
        <w:sectPr w:rsidR="003A345A">
          <w:type w:val="continuous"/>
          <w:pgSz w:w="11910" w:h="16840"/>
          <w:pgMar w:top="1400" w:right="1417" w:bottom="280" w:left="1417" w:header="720" w:footer="720" w:gutter="0"/>
          <w:cols w:space="720"/>
        </w:sectPr>
      </w:pPr>
    </w:p>
    <w:p w14:paraId="3C2E17EE" w14:textId="77777777" w:rsidR="003A345A" w:rsidRDefault="00A8000E">
      <w:pPr>
        <w:pStyle w:val="BodyText"/>
        <w:spacing w:before="36" w:line="293" w:lineRule="exact"/>
      </w:pPr>
      <w:r>
        <w:lastRenderedPageBreak/>
        <w:t>Any</w:t>
      </w:r>
      <w:r>
        <w:rPr>
          <w:spacing w:val="-7"/>
        </w:rPr>
        <w:t xml:space="preserve"> </w:t>
      </w:r>
      <w:r>
        <w:t>payments required</w:t>
      </w:r>
      <w:r>
        <w:rPr>
          <w:spacing w:val="-3"/>
        </w:rPr>
        <w:t xml:space="preserve"> </w:t>
      </w:r>
      <w:r>
        <w:t>in-between</w:t>
      </w:r>
      <w:r>
        <w:rPr>
          <w:spacing w:val="-3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Council’s</w:t>
      </w:r>
    </w:p>
    <w:p w14:paraId="4F58E764" w14:textId="77777777" w:rsidR="003A345A" w:rsidRDefault="00A8000E">
      <w:pPr>
        <w:pStyle w:val="BodyText"/>
        <w:spacing w:line="293" w:lineRule="exact"/>
      </w:pPr>
      <w:r>
        <w:t>Financial</w:t>
      </w:r>
      <w:r>
        <w:rPr>
          <w:spacing w:val="-4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 xml:space="preserve">set out </w:t>
      </w:r>
      <w:r>
        <w:rPr>
          <w:spacing w:val="-2"/>
        </w:rPr>
        <w:t>above.</w:t>
      </w:r>
    </w:p>
    <w:p w14:paraId="20B1D0AE" w14:textId="77777777" w:rsidR="003A345A" w:rsidRDefault="003A345A">
      <w:pPr>
        <w:pStyle w:val="BodyText"/>
        <w:spacing w:before="1"/>
        <w:ind w:left="0"/>
      </w:pPr>
    </w:p>
    <w:p w14:paraId="609F6585" w14:textId="77777777" w:rsidR="003A345A" w:rsidRDefault="00A8000E">
      <w:pPr>
        <w:pStyle w:val="Heading1"/>
      </w:pPr>
      <w:r>
        <w:t>Banking</w:t>
      </w:r>
      <w:r>
        <w:rPr>
          <w:spacing w:val="-1"/>
        </w:rPr>
        <w:t xml:space="preserve"> </w:t>
      </w:r>
      <w:r>
        <w:rPr>
          <w:spacing w:val="-2"/>
        </w:rPr>
        <w:t>Charges</w:t>
      </w:r>
    </w:p>
    <w:p w14:paraId="5E069600" w14:textId="1D8F7140" w:rsidR="003A345A" w:rsidRDefault="00A8000E">
      <w:pPr>
        <w:pStyle w:val="BodyText"/>
        <w:spacing w:before="292" w:line="482" w:lineRule="auto"/>
        <w:ind w:right="3821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charges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t xml:space="preserve">banking. </w:t>
      </w:r>
    </w:p>
    <w:sectPr w:rsidR="003A345A">
      <w:pgSz w:w="11910" w:h="16840"/>
      <w:pgMar w:top="16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2A0D"/>
    <w:multiLevelType w:val="hybridMultilevel"/>
    <w:tmpl w:val="724E7326"/>
    <w:lvl w:ilvl="0" w:tplc="E4262102">
      <w:numFmt w:val="bullet"/>
      <w:lvlText w:val="•"/>
      <w:lvlJc w:val="left"/>
      <w:pPr>
        <w:ind w:left="199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D9CA8B6">
      <w:numFmt w:val="bullet"/>
      <w:lvlText w:val="•"/>
      <w:lvlJc w:val="left"/>
      <w:pPr>
        <w:ind w:left="1087" w:hanging="176"/>
      </w:pPr>
      <w:rPr>
        <w:rFonts w:hint="default"/>
        <w:lang w:val="en-US" w:eastAsia="en-US" w:bidi="ar-SA"/>
      </w:rPr>
    </w:lvl>
    <w:lvl w:ilvl="2" w:tplc="C3FC1C28">
      <w:numFmt w:val="bullet"/>
      <w:lvlText w:val="•"/>
      <w:lvlJc w:val="left"/>
      <w:pPr>
        <w:ind w:left="1974" w:hanging="176"/>
      </w:pPr>
      <w:rPr>
        <w:rFonts w:hint="default"/>
        <w:lang w:val="en-US" w:eastAsia="en-US" w:bidi="ar-SA"/>
      </w:rPr>
    </w:lvl>
    <w:lvl w:ilvl="3" w:tplc="A11A0EE8">
      <w:numFmt w:val="bullet"/>
      <w:lvlText w:val="•"/>
      <w:lvlJc w:val="left"/>
      <w:pPr>
        <w:ind w:left="2862" w:hanging="176"/>
      </w:pPr>
      <w:rPr>
        <w:rFonts w:hint="default"/>
        <w:lang w:val="en-US" w:eastAsia="en-US" w:bidi="ar-SA"/>
      </w:rPr>
    </w:lvl>
    <w:lvl w:ilvl="4" w:tplc="266659B4">
      <w:numFmt w:val="bullet"/>
      <w:lvlText w:val="•"/>
      <w:lvlJc w:val="left"/>
      <w:pPr>
        <w:ind w:left="3749" w:hanging="176"/>
      </w:pPr>
      <w:rPr>
        <w:rFonts w:hint="default"/>
        <w:lang w:val="en-US" w:eastAsia="en-US" w:bidi="ar-SA"/>
      </w:rPr>
    </w:lvl>
    <w:lvl w:ilvl="5" w:tplc="A8FC724C">
      <w:numFmt w:val="bullet"/>
      <w:lvlText w:val="•"/>
      <w:lvlJc w:val="left"/>
      <w:pPr>
        <w:ind w:left="4637" w:hanging="176"/>
      </w:pPr>
      <w:rPr>
        <w:rFonts w:hint="default"/>
        <w:lang w:val="en-US" w:eastAsia="en-US" w:bidi="ar-SA"/>
      </w:rPr>
    </w:lvl>
    <w:lvl w:ilvl="6" w:tplc="39C47BD0">
      <w:numFmt w:val="bullet"/>
      <w:lvlText w:val="•"/>
      <w:lvlJc w:val="left"/>
      <w:pPr>
        <w:ind w:left="5524" w:hanging="176"/>
      </w:pPr>
      <w:rPr>
        <w:rFonts w:hint="default"/>
        <w:lang w:val="en-US" w:eastAsia="en-US" w:bidi="ar-SA"/>
      </w:rPr>
    </w:lvl>
    <w:lvl w:ilvl="7" w:tplc="50EA89C0">
      <w:numFmt w:val="bullet"/>
      <w:lvlText w:val="•"/>
      <w:lvlJc w:val="left"/>
      <w:pPr>
        <w:ind w:left="6411" w:hanging="176"/>
      </w:pPr>
      <w:rPr>
        <w:rFonts w:hint="default"/>
        <w:lang w:val="en-US" w:eastAsia="en-US" w:bidi="ar-SA"/>
      </w:rPr>
    </w:lvl>
    <w:lvl w:ilvl="8" w:tplc="182A6914">
      <w:numFmt w:val="bullet"/>
      <w:lvlText w:val="•"/>
      <w:lvlJc w:val="left"/>
      <w:pPr>
        <w:ind w:left="7299" w:hanging="176"/>
      </w:pPr>
      <w:rPr>
        <w:rFonts w:hint="default"/>
        <w:lang w:val="en-US" w:eastAsia="en-US" w:bidi="ar-SA"/>
      </w:rPr>
    </w:lvl>
  </w:abstractNum>
  <w:num w:numId="1" w16cid:durableId="24434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5A"/>
    <w:rsid w:val="00100D9B"/>
    <w:rsid w:val="00295E8A"/>
    <w:rsid w:val="003806DC"/>
    <w:rsid w:val="003A345A"/>
    <w:rsid w:val="005251CD"/>
    <w:rsid w:val="0078638C"/>
    <w:rsid w:val="00812D89"/>
    <w:rsid w:val="00A8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0FDF7"/>
  <w15:docId w15:val="{599C0100-9C12-4FE3-8C62-CE1F637C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2" w:lineRule="exact"/>
      <w:ind w:left="197" w:hanging="17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Hockering PC - Internet Banking</dc:title>
  <dc:creator>sheryl tinder</dc:creator>
  <cp:lastModifiedBy>Bunwell Parish Clerk</cp:lastModifiedBy>
  <cp:revision>6</cp:revision>
  <dcterms:created xsi:type="dcterms:W3CDTF">2025-09-19T11:36:00Z</dcterms:created>
  <dcterms:modified xsi:type="dcterms:W3CDTF">2026-03-26T12:30:00Z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for Microsoft 365</vt:lpwstr>
  </property>
</Properties>
</file>